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0D5AFEE0" w:rsidR="00A2208A" w:rsidRPr="00B55C47" w:rsidRDefault="00F002EE" w:rsidP="00A2208A">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 xml:space="preserve">3GPP TSG RAN WG5 </w:t>
      </w:r>
      <w:r w:rsidR="006B5C72">
        <w:rPr>
          <w:rFonts w:eastAsia="Malgun Gothic"/>
          <w:b/>
          <w:bCs/>
          <w:sz w:val="28"/>
        </w:rPr>
        <w:t>#4-5G-NR Adhoc</w:t>
      </w:r>
      <w:r w:rsidR="00BC6E8D">
        <w:rPr>
          <w:rFonts w:eastAsia="Malgun Gothic"/>
          <w:b/>
          <w:bCs/>
          <w:sz w:val="28"/>
        </w:rPr>
        <w:tab/>
      </w:r>
      <w:r w:rsidR="00A2208A" w:rsidRPr="00C94B58">
        <w:rPr>
          <w:rFonts w:eastAsia="Malgun Gothic"/>
          <w:b/>
          <w:bCs/>
          <w:sz w:val="28"/>
        </w:rPr>
        <w:t>R5-1</w:t>
      </w:r>
      <w:r w:rsidR="00C94B58" w:rsidRPr="00C94B58">
        <w:rPr>
          <w:rFonts w:eastAsia="Malgun Gothic"/>
          <w:b/>
          <w:bCs/>
          <w:sz w:val="28"/>
        </w:rPr>
        <w:t>9</w:t>
      </w:r>
      <w:r w:rsidR="00DE425F">
        <w:rPr>
          <w:rFonts w:eastAsia="Malgun Gothic"/>
          <w:b/>
          <w:bCs/>
          <w:sz w:val="28"/>
        </w:rPr>
        <w:t>0567</w:t>
      </w:r>
      <w:bookmarkStart w:id="0" w:name="_GoBack"/>
      <w:bookmarkEnd w:id="0"/>
    </w:p>
    <w:p w14:paraId="4A54CA72" w14:textId="4499B517" w:rsidR="00A2208A" w:rsidRPr="00B55C47" w:rsidRDefault="006B5C72"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Singapore</w:t>
      </w:r>
      <w:r w:rsidR="00725DCB" w:rsidRPr="00B55C47">
        <w:rPr>
          <w:rFonts w:eastAsia="Malgun Gothic"/>
          <w:b/>
          <w:bCs/>
          <w:sz w:val="28"/>
          <w:lang w:eastAsia="ko-KR"/>
        </w:rPr>
        <w:t xml:space="preserve">, </w:t>
      </w:r>
      <w:r w:rsidR="00BC6E8D">
        <w:rPr>
          <w:rFonts w:eastAsia="Malgun Gothic"/>
          <w:b/>
          <w:bCs/>
          <w:sz w:val="28"/>
          <w:lang w:eastAsia="ko-KR"/>
        </w:rPr>
        <w:t>2</w:t>
      </w:r>
      <w:r>
        <w:rPr>
          <w:rFonts w:eastAsia="Malgun Gothic"/>
          <w:b/>
          <w:bCs/>
          <w:sz w:val="28"/>
          <w:lang w:eastAsia="ko-KR"/>
        </w:rPr>
        <w:t>1</w:t>
      </w:r>
      <w:r>
        <w:rPr>
          <w:rFonts w:eastAsia="Malgun Gothic"/>
          <w:b/>
          <w:bCs/>
          <w:sz w:val="28"/>
          <w:vertAlign w:val="superscript"/>
          <w:lang w:eastAsia="ko-KR"/>
        </w:rPr>
        <w:t>st</w:t>
      </w:r>
      <w:r w:rsidR="00725DCB" w:rsidRPr="00B55C47">
        <w:rPr>
          <w:rFonts w:eastAsia="Malgun Gothic"/>
          <w:b/>
          <w:bCs/>
          <w:sz w:val="28"/>
          <w:lang w:eastAsia="ko-KR"/>
        </w:rPr>
        <w:t xml:space="preserve"> – </w:t>
      </w:r>
      <w:r>
        <w:rPr>
          <w:rFonts w:eastAsia="Malgun Gothic"/>
          <w:b/>
          <w:bCs/>
          <w:sz w:val="28"/>
          <w:lang w:eastAsia="ko-KR"/>
        </w:rPr>
        <w:t>25</w:t>
      </w:r>
      <w:r w:rsidR="00725DCB" w:rsidRPr="00B55C47">
        <w:rPr>
          <w:rFonts w:eastAsia="Malgun Gothic"/>
          <w:b/>
          <w:bCs/>
          <w:sz w:val="28"/>
          <w:vertAlign w:val="superscript"/>
          <w:lang w:eastAsia="ko-KR"/>
        </w:rPr>
        <w:t>th</w:t>
      </w:r>
      <w:r w:rsidR="00725DCB" w:rsidRPr="00B55C47">
        <w:rPr>
          <w:rFonts w:eastAsia="Malgun Gothic"/>
          <w:b/>
          <w:bCs/>
          <w:sz w:val="28"/>
          <w:lang w:eastAsia="ko-KR"/>
        </w:rPr>
        <w:t xml:space="preserve"> </w:t>
      </w:r>
      <w:r>
        <w:rPr>
          <w:rFonts w:eastAsia="Malgun Gothic"/>
          <w:b/>
          <w:bCs/>
          <w:sz w:val="28"/>
          <w:lang w:eastAsia="ko-KR"/>
        </w:rPr>
        <w:t>January 2019</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97D8F84" w14:textId="77777777" w:rsidR="0079462D" w:rsidRDefault="00A2208A" w:rsidP="0079462D">
      <w:pPr>
        <w:ind w:left="2160" w:hanging="2160"/>
      </w:pPr>
      <w:r w:rsidRPr="00B55C47">
        <w:rPr>
          <w:b/>
        </w:rPr>
        <w:t>Title:</w:t>
      </w:r>
      <w:r w:rsidRPr="00B55C47">
        <w:rPr>
          <w:b/>
        </w:rPr>
        <w:tab/>
      </w:r>
      <w:r w:rsidR="0079462D" w:rsidRPr="0079462D">
        <w:t xml:space="preserve">Discussion on QoQZ for spurious emissions </w:t>
      </w:r>
    </w:p>
    <w:p w14:paraId="0483421E" w14:textId="791342A5" w:rsidR="00A2208A" w:rsidRPr="00B55C47" w:rsidRDefault="00A2208A" w:rsidP="0079462D">
      <w:pPr>
        <w:ind w:left="2160" w:hanging="2160"/>
        <w:rPr>
          <w:bCs/>
          <w:lang w:eastAsia="ja-JP"/>
        </w:rPr>
      </w:pPr>
      <w:r w:rsidRPr="00B55C47">
        <w:rPr>
          <w:b/>
        </w:rPr>
        <w:t>Agenda Item:</w:t>
      </w:r>
      <w:r w:rsidR="0079462D">
        <w:tab/>
      </w:r>
      <w:r w:rsidR="00BB2F5E" w:rsidRPr="00B55C47">
        <w:t>5.</w:t>
      </w:r>
      <w:r w:rsidR="006B5C72">
        <w:t>1.15</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10158F39" w:rsidR="00F002EE" w:rsidRPr="00B55C47" w:rsidRDefault="0079462D" w:rsidP="008159B1">
      <w:pPr>
        <w:jc w:val="both"/>
      </w:pPr>
      <w:bookmarkStart w:id="1" w:name="OLE_LINK10"/>
      <w:bookmarkStart w:id="2" w:name="OLE_LINK11"/>
      <w:r>
        <w:t xml:space="preserve">Due to the large frequency range covered by the spurious emission </w:t>
      </w:r>
      <w:r w:rsidR="005D1761">
        <w:t xml:space="preserve">(SE) </w:t>
      </w:r>
      <w:r>
        <w:t>test case, the characterization of the quality of quiet zone (QoQZ) results i</w:t>
      </w:r>
      <w:r w:rsidR="00BC6E8D">
        <w:t xml:space="preserve">n </w:t>
      </w:r>
      <w:r>
        <w:t xml:space="preserve">a high effort which requires a simplification of the quiet zone procedure in order to be still manageable. In this contribution, we summarize our view points and proposals shared </w:t>
      </w:r>
      <w:r w:rsidR="005D1761">
        <w:t xml:space="preserve">in </w:t>
      </w:r>
      <w:r>
        <w:t>discussions during email agreement of RAN5 #81.</w:t>
      </w:r>
    </w:p>
    <w:p w14:paraId="59D92B3E" w14:textId="2BA36134" w:rsidR="00FC45FA" w:rsidRDefault="00BC6E8D" w:rsidP="0079462D">
      <w:pPr>
        <w:pStyle w:val="berschrift1"/>
      </w:pPr>
      <w:r>
        <w:t>Discussion</w:t>
      </w:r>
    </w:p>
    <w:p w14:paraId="54D38708" w14:textId="36A4D560" w:rsidR="0079462D" w:rsidRDefault="0079462D" w:rsidP="009D3C74">
      <w:pPr>
        <w:rPr>
          <w:lang w:eastAsia="en-US"/>
        </w:rPr>
      </w:pPr>
      <w:r>
        <w:rPr>
          <w:lang w:eastAsia="en-US"/>
        </w:rPr>
        <w:t>The quality of quiet zone is an important figure of merit for an OTA measurement system as it describes the uncertainty associated with the electromagnetic environment such as reflections in a chamber in addition to other included contribution</w:t>
      </w:r>
      <w:r w:rsidR="005D1761">
        <w:rPr>
          <w:lang w:eastAsia="en-US"/>
        </w:rPr>
        <w:t>s</w:t>
      </w:r>
      <w:r>
        <w:rPr>
          <w:lang w:eastAsia="en-US"/>
        </w:rPr>
        <w:t xml:space="preserve"> such as </w:t>
      </w:r>
      <w:r w:rsidR="005D1761">
        <w:rPr>
          <w:lang w:eastAsia="en-US"/>
        </w:rPr>
        <w:t xml:space="preserve">the </w:t>
      </w:r>
      <w:r>
        <w:rPr>
          <w:lang w:eastAsia="en-US"/>
        </w:rPr>
        <w:t>uncertainty due to</w:t>
      </w:r>
      <w:r w:rsidR="005D1761">
        <w:rPr>
          <w:lang w:eastAsia="en-US"/>
        </w:rPr>
        <w:t xml:space="preserve"> an</w:t>
      </w:r>
      <w:r>
        <w:rPr>
          <w:lang w:eastAsia="en-US"/>
        </w:rPr>
        <w:t xml:space="preserve"> offset of the phase center from the center of the measurement volume.</w:t>
      </w:r>
    </w:p>
    <w:p w14:paraId="37D753A0" w14:textId="1B962F81" w:rsidR="0079462D" w:rsidRDefault="0079462D" w:rsidP="0079462D">
      <w:pPr>
        <w:pStyle w:val="berschrift2"/>
      </w:pPr>
      <w:r>
        <w:t xml:space="preserve"> Frequency points</w:t>
      </w:r>
    </w:p>
    <w:p w14:paraId="6BA921EE" w14:textId="67D77D4B" w:rsidR="0079462D" w:rsidRDefault="0079462D" w:rsidP="0079462D">
      <w:pPr>
        <w:rPr>
          <w:lang w:eastAsia="en-US"/>
        </w:rPr>
      </w:pPr>
      <w:r w:rsidRPr="0079462D">
        <w:rPr>
          <w:lang w:eastAsia="en-US"/>
        </w:rPr>
        <w:t>In order</w:t>
      </w:r>
      <w:r>
        <w:rPr>
          <w:lang w:eastAsia="en-US"/>
        </w:rPr>
        <w:t xml:space="preserve"> t</w:t>
      </w:r>
      <w:r w:rsidRPr="0079462D">
        <w:rPr>
          <w:lang w:eastAsia="en-US"/>
        </w:rPr>
        <w:t>o</w:t>
      </w:r>
      <w:r>
        <w:rPr>
          <w:lang w:eastAsia="en-US"/>
        </w:rPr>
        <w:t xml:space="preserve"> optimize the</w:t>
      </w:r>
      <w:r w:rsidRPr="0079462D">
        <w:rPr>
          <w:lang w:eastAsia="en-US"/>
        </w:rPr>
        <w:t xml:space="preserve"> </w:t>
      </w:r>
      <w:r>
        <w:rPr>
          <w:lang w:eastAsia="en-US"/>
        </w:rPr>
        <w:t>time</w:t>
      </w:r>
      <w:r w:rsidRPr="0079462D">
        <w:rPr>
          <w:lang w:eastAsia="en-US"/>
        </w:rPr>
        <w:t xml:space="preserve"> </w:t>
      </w:r>
      <w:r>
        <w:rPr>
          <w:lang w:eastAsia="en-US"/>
        </w:rPr>
        <w:t>n</w:t>
      </w:r>
      <w:r w:rsidRPr="0079462D">
        <w:rPr>
          <w:lang w:eastAsia="en-US"/>
        </w:rPr>
        <w:t xml:space="preserve">eeded to perform the quality of quiet zone </w:t>
      </w:r>
      <w:r>
        <w:rPr>
          <w:lang w:eastAsia="en-US"/>
        </w:rPr>
        <w:t xml:space="preserve">characterization </w:t>
      </w:r>
      <w:r w:rsidR="00F85B1A">
        <w:rPr>
          <w:lang w:eastAsia="en-US"/>
        </w:rPr>
        <w:t xml:space="preserve">for </w:t>
      </w:r>
      <w:r>
        <w:rPr>
          <w:lang w:eastAsia="en-US"/>
        </w:rPr>
        <w:t xml:space="preserve">spurious </w:t>
      </w:r>
      <w:r w:rsidR="00F85B1A">
        <w:rPr>
          <w:lang w:eastAsia="en-US"/>
        </w:rPr>
        <w:t>emissions,</w:t>
      </w:r>
      <w:r>
        <w:rPr>
          <w:lang w:eastAsia="en-US"/>
        </w:rPr>
        <w:t xml:space="preserve"> the reuse of</w:t>
      </w:r>
      <w:r w:rsidR="005D1761">
        <w:rPr>
          <w:lang w:eastAsia="en-US"/>
        </w:rPr>
        <w:t xml:space="preserve"> a subset of the</w:t>
      </w:r>
      <w:r>
        <w:rPr>
          <w:lang w:eastAsia="en-US"/>
        </w:rPr>
        <w:t xml:space="preserve"> data that are taken under the same conditions as for the in-band QoQZ (same frequency, identical reference antenna position and orientation) should be allowed.</w:t>
      </w:r>
      <w:r w:rsidR="00F85B1A">
        <w:rPr>
          <w:lang w:eastAsia="en-US"/>
        </w:rPr>
        <w:t xml:space="preserve"> We emphasize that it is not allowed to reuse the final QoQZ MU of the in-band </w:t>
      </w:r>
      <w:r w:rsidR="005D1761">
        <w:rPr>
          <w:lang w:eastAsia="en-US"/>
        </w:rPr>
        <w:t>QoQZ procedure</w:t>
      </w:r>
      <w:r w:rsidR="00F85B1A">
        <w:rPr>
          <w:lang w:eastAsia="en-US"/>
        </w:rPr>
        <w:t>.</w:t>
      </w:r>
    </w:p>
    <w:p w14:paraId="5B31BEF8" w14:textId="5E4E3C91" w:rsidR="0079462D" w:rsidRDefault="0079462D" w:rsidP="0079462D">
      <w:pPr>
        <w:jc w:val="both"/>
        <w:rPr>
          <w:b/>
          <w:lang w:eastAsia="en-US"/>
        </w:rPr>
      </w:pPr>
      <w:r w:rsidRPr="0079462D">
        <w:rPr>
          <w:b/>
          <w:lang w:eastAsia="en-US"/>
        </w:rPr>
        <w:t xml:space="preserve">Proposal 1: Allow the reuse of the subset of data of the in-band </w:t>
      </w:r>
      <w:r w:rsidR="005D1761">
        <w:rPr>
          <w:b/>
          <w:lang w:eastAsia="en-US"/>
        </w:rPr>
        <w:t>QoQZ characterization</w:t>
      </w:r>
      <w:r w:rsidRPr="0079462D">
        <w:rPr>
          <w:b/>
          <w:lang w:eastAsia="en-US"/>
        </w:rPr>
        <w:t xml:space="preserve"> </w:t>
      </w:r>
      <w:r w:rsidR="005D1761">
        <w:rPr>
          <w:b/>
          <w:lang w:eastAsia="en-US"/>
        </w:rPr>
        <w:t>for the analysis of the spurious emission QoQZ</w:t>
      </w:r>
      <w:r w:rsidRPr="0079462D">
        <w:rPr>
          <w:b/>
          <w:lang w:eastAsia="en-US"/>
        </w:rPr>
        <w:t xml:space="preserve"> under the condition that the reference antenna position and orientation as well as the measurement frequency and measurement antenna are identical in both cases. </w:t>
      </w:r>
    </w:p>
    <w:p w14:paraId="32555E2E" w14:textId="13E84DDC" w:rsidR="00F85B1A" w:rsidRPr="0079462D" w:rsidRDefault="00F85B1A" w:rsidP="0079462D">
      <w:pPr>
        <w:jc w:val="both"/>
        <w:rPr>
          <w:b/>
          <w:lang w:eastAsia="en-US"/>
        </w:rPr>
      </w:pPr>
      <w:r>
        <w:rPr>
          <w:b/>
          <w:lang w:eastAsia="en-US"/>
        </w:rPr>
        <w:t xml:space="preserve">Proposal 2: The quality of quiet zone shall be characterized at </w:t>
      </w:r>
      <w:r w:rsidR="006E541B">
        <w:rPr>
          <w:b/>
          <w:lang w:eastAsia="en-US"/>
        </w:rPr>
        <w:t>6 GHz</w:t>
      </w:r>
      <w:r>
        <w:rPr>
          <w:b/>
          <w:lang w:eastAsia="en-US"/>
        </w:rPr>
        <w:t xml:space="preserve">, </w:t>
      </w:r>
      <w:r w:rsidR="006E541B">
        <w:rPr>
          <w:b/>
          <w:lang w:eastAsia="en-US"/>
        </w:rPr>
        <w:t xml:space="preserve">12.75 GHz, </w:t>
      </w:r>
      <w:r>
        <w:rPr>
          <w:b/>
          <w:lang w:eastAsia="en-US"/>
        </w:rPr>
        <w:t>23.45 GHz, 40.8 GHz, 6</w:t>
      </w:r>
      <w:r w:rsidR="002C31AB">
        <w:rPr>
          <w:b/>
          <w:lang w:eastAsia="en-US"/>
        </w:rPr>
        <w:t>0</w:t>
      </w:r>
      <w:r>
        <w:rPr>
          <w:b/>
          <w:lang w:eastAsia="en-US"/>
        </w:rPr>
        <w:t> GHz, and 80 GHz.</w:t>
      </w:r>
    </w:p>
    <w:p w14:paraId="37D305DF" w14:textId="6F547333" w:rsidR="0079462D" w:rsidRDefault="0079462D" w:rsidP="0079462D">
      <w:pPr>
        <w:pStyle w:val="berschrift2"/>
      </w:pPr>
      <w:r w:rsidRPr="0079462D">
        <w:rPr>
          <w:lang w:val="en-US"/>
        </w:rPr>
        <w:t xml:space="preserve"> </w:t>
      </w:r>
      <w:r>
        <w:rPr>
          <w:lang w:val="de-DE"/>
        </w:rPr>
        <w:t xml:space="preserve">Measurement </w:t>
      </w:r>
      <w:proofErr w:type="spellStart"/>
      <w:r>
        <w:rPr>
          <w:lang w:val="de-DE"/>
        </w:rPr>
        <w:t>distance</w:t>
      </w:r>
      <w:proofErr w:type="spellEnd"/>
    </w:p>
    <w:p w14:paraId="3C0D764D" w14:textId="77777777" w:rsidR="00EA397D" w:rsidRDefault="0079462D" w:rsidP="009D3C74">
      <w:pPr>
        <w:rPr>
          <w:lang w:eastAsia="en-US"/>
        </w:rPr>
      </w:pPr>
      <w:r>
        <w:rPr>
          <w:lang w:eastAsia="en-US"/>
        </w:rPr>
        <w:t xml:space="preserve">For tests in the in-band frequency range the far field criterion is an important prerequisite for enabling an UE to form the beam in the correct direction. </w:t>
      </w:r>
      <w:r w:rsidR="00AD24DD">
        <w:rPr>
          <w:lang w:eastAsia="en-US"/>
        </w:rPr>
        <w:t>Thus in the SE t</w:t>
      </w:r>
      <w:r>
        <w:rPr>
          <w:lang w:eastAsia="en-US"/>
        </w:rPr>
        <w:t>est</w:t>
      </w:r>
      <w:r w:rsidR="00AD24DD">
        <w:rPr>
          <w:lang w:eastAsia="en-US"/>
        </w:rPr>
        <w:t>,</w:t>
      </w:r>
      <w:r>
        <w:rPr>
          <w:lang w:eastAsia="en-US"/>
        </w:rPr>
        <w:t xml:space="preserve"> the far field is important until the beam is formed into the beam peak direction and locked. In the next step</w:t>
      </w:r>
      <w:r w:rsidR="00AD24DD">
        <w:rPr>
          <w:lang w:eastAsia="en-US"/>
        </w:rPr>
        <w:t>,</w:t>
      </w:r>
      <w:r>
        <w:rPr>
          <w:lang w:eastAsia="en-US"/>
        </w:rPr>
        <w:t xml:space="preserve"> the spurious emissions are measured with </w:t>
      </w:r>
      <w:r w:rsidR="00AD24DD">
        <w:rPr>
          <w:lang w:eastAsia="en-US"/>
        </w:rPr>
        <w:t>the</w:t>
      </w:r>
      <w:r>
        <w:rPr>
          <w:lang w:eastAsia="en-US"/>
        </w:rPr>
        <w:t xml:space="preserve"> TRP metric. In Re</w:t>
      </w:r>
      <w:r w:rsidR="00F85B1A">
        <w:rPr>
          <w:lang w:eastAsia="en-US"/>
        </w:rPr>
        <w:t>f [1] it has been</w:t>
      </w:r>
      <w:r>
        <w:rPr>
          <w:lang w:eastAsia="en-US"/>
        </w:rPr>
        <w:t xml:space="preserve"> well proven that </w:t>
      </w:r>
      <w:r>
        <w:rPr>
          <w:lang w:eastAsia="en-US"/>
        </w:rPr>
        <w:lastRenderedPageBreak/>
        <w:t xml:space="preserve">reliable TRP measurements can be performed in the radiative near field. </w:t>
      </w:r>
      <w:r w:rsidR="00AD24DD">
        <w:rPr>
          <w:lang w:eastAsia="en-US"/>
        </w:rPr>
        <w:t>The physical basis for this is the law of energy conservation.</w:t>
      </w:r>
      <w:r w:rsidR="00243E93">
        <w:rPr>
          <w:lang w:eastAsia="en-US"/>
        </w:rPr>
        <w:t xml:space="preserve"> </w:t>
      </w:r>
    </w:p>
    <w:p w14:paraId="768EBD68" w14:textId="23A36938" w:rsidR="0079462D" w:rsidRPr="0079462D" w:rsidRDefault="0079462D" w:rsidP="009D3C74">
      <w:pPr>
        <w:rPr>
          <w:b/>
          <w:lang w:eastAsia="en-US"/>
        </w:rPr>
      </w:pPr>
      <w:r w:rsidRPr="0079462D">
        <w:rPr>
          <w:b/>
          <w:lang w:eastAsia="en-US"/>
        </w:rPr>
        <w:t>Observation 1: For the spurious emission the TRP measurements can reliably be performed in the radiative near field distance provided that the beam has been formed and locked with a DL signal with far field characteristics.</w:t>
      </w:r>
    </w:p>
    <w:p w14:paraId="21B90E0E" w14:textId="253993B2" w:rsidR="00984FE8" w:rsidRPr="002F0BEC" w:rsidRDefault="00984FE8" w:rsidP="00984FE8">
      <w:pPr>
        <w:rPr>
          <w:b/>
          <w:lang w:eastAsia="en-US"/>
        </w:rPr>
      </w:pPr>
      <w:r w:rsidRPr="0079462D">
        <w:rPr>
          <w:b/>
          <w:lang w:eastAsia="en-US"/>
        </w:rPr>
        <w:t xml:space="preserve">Proposal </w:t>
      </w:r>
      <w:r>
        <w:rPr>
          <w:b/>
          <w:lang w:eastAsia="en-US"/>
        </w:rPr>
        <w:t>3</w:t>
      </w:r>
      <w:r w:rsidRPr="0079462D">
        <w:rPr>
          <w:b/>
          <w:lang w:eastAsia="en-US"/>
        </w:rPr>
        <w:t xml:space="preserve">: </w:t>
      </w:r>
      <w:r w:rsidR="00A43D4D">
        <w:rPr>
          <w:b/>
          <w:lang w:eastAsia="en-US"/>
        </w:rPr>
        <w:t>Set t</w:t>
      </w:r>
      <w:r w:rsidRPr="0079462D">
        <w:rPr>
          <w:b/>
          <w:lang w:eastAsia="en-US"/>
        </w:rPr>
        <w:t>he minimum measurement distance of a DFF s</w:t>
      </w:r>
      <w:r w:rsidR="009E107A">
        <w:rPr>
          <w:b/>
          <w:lang w:eastAsia="en-US"/>
        </w:rPr>
        <w:t>purious emission test systems</w:t>
      </w:r>
      <w:r w:rsidRPr="0079462D">
        <w:rPr>
          <w:b/>
          <w:lang w:eastAsia="en-US"/>
        </w:rPr>
        <w:t xml:space="preserve"> </w:t>
      </w:r>
      <w:r>
        <w:rPr>
          <w:b/>
          <w:lang w:eastAsia="en-US"/>
        </w:rPr>
        <w:t xml:space="preserve">to </w:t>
      </w:r>
      <w:r w:rsidRPr="0079462D">
        <w:rPr>
          <w:b/>
          <w:lang w:eastAsia="en-US"/>
        </w:rPr>
        <w:t xml:space="preserve">the radiative near field </w:t>
      </w:r>
      <w:r>
        <w:rPr>
          <w:b/>
          <w:lang w:eastAsia="en-US"/>
        </w:rPr>
        <w:t xml:space="preserve">distance only </w:t>
      </w:r>
      <w:r w:rsidRPr="0079462D">
        <w:rPr>
          <w:b/>
          <w:lang w:eastAsia="en-US"/>
        </w:rPr>
        <w:t>for the spurious emission measurement under the condition that the DL signal fulfills the far</w:t>
      </w:r>
      <w:r>
        <w:rPr>
          <w:b/>
          <w:lang w:eastAsia="en-US"/>
        </w:rPr>
        <w:t>-</w:t>
      </w:r>
      <w:r w:rsidRPr="0079462D">
        <w:rPr>
          <w:b/>
          <w:lang w:eastAsia="en-US"/>
        </w:rPr>
        <w:t>field requirement during the beam forming step in the test procedure.</w:t>
      </w:r>
      <w:r>
        <w:rPr>
          <w:b/>
          <w:lang w:eastAsia="en-US"/>
        </w:rPr>
        <w:t xml:space="preserve"> The radiative near field distance is given by </w:t>
      </w:r>
      <m:oMath>
        <m:r>
          <m:rPr>
            <m:sty m:val="b"/>
          </m:rPr>
          <w:rPr>
            <w:rFonts w:ascii="Cambria Math" w:hAnsi="Cambria Math"/>
            <w:lang w:eastAsia="en-US"/>
          </w:rPr>
          <m:t>0.62</m:t>
        </m:r>
        <m:rad>
          <m:radPr>
            <m:degHide m:val="1"/>
            <m:ctrlPr>
              <w:rPr>
                <w:rFonts w:ascii="Cambria Math" w:hAnsi="Cambria Math"/>
                <w:b/>
                <w:lang w:eastAsia="en-US"/>
              </w:rPr>
            </m:ctrlPr>
          </m:radPr>
          <m:deg/>
          <m:e>
            <m:sSubSup>
              <m:sSubSupPr>
                <m:ctrlPr>
                  <w:rPr>
                    <w:rFonts w:ascii="Cambria Math" w:hAnsi="Cambria Math"/>
                    <w:b/>
                    <w:lang w:eastAsia="en-US"/>
                  </w:rPr>
                </m:ctrlPr>
              </m:sSubSupPr>
              <m:e>
                <m:r>
                  <m:rPr>
                    <m:sty m:val="bi"/>
                  </m:rPr>
                  <w:rPr>
                    <w:rFonts w:ascii="Cambria Math" w:hAnsi="Cambria Math"/>
                    <w:lang w:eastAsia="en-US"/>
                  </w:rPr>
                  <m:t>D</m:t>
                </m:r>
              </m:e>
              <m:sub>
                <m:r>
                  <m:rPr>
                    <m:sty m:val="bi"/>
                  </m:rPr>
                  <w:rPr>
                    <w:rFonts w:ascii="Cambria Math" w:hAnsi="Cambria Math"/>
                    <w:lang w:eastAsia="en-US"/>
                  </w:rPr>
                  <m:t>SE</m:t>
                </m:r>
              </m:sub>
              <m:sup>
                <m:r>
                  <m:rPr>
                    <m:sty m:val="b"/>
                  </m:rPr>
                  <w:rPr>
                    <w:rFonts w:ascii="Cambria Math" w:hAnsi="Cambria Math"/>
                    <w:lang w:eastAsia="en-US"/>
                  </w:rPr>
                  <m:t>3</m:t>
                </m:r>
              </m:sup>
            </m:sSubSup>
            <m:r>
              <m:rPr>
                <m:sty m:val="b"/>
              </m:rPr>
              <w:rPr>
                <w:rFonts w:ascii="Cambria Math" w:hAnsi="Cambria Math"/>
                <w:lang w:eastAsia="en-US"/>
              </w:rPr>
              <m:t>/</m:t>
            </m:r>
            <m:r>
              <m:rPr>
                <m:sty m:val="bi"/>
              </m:rPr>
              <w:rPr>
                <w:rFonts w:ascii="Cambria Math" w:hAnsi="Cambria Math"/>
                <w:lang w:eastAsia="en-US"/>
              </w:rPr>
              <m:t>λ</m:t>
            </m:r>
            <m:r>
              <m:rPr>
                <m:sty m:val="b"/>
              </m:rPr>
              <w:rPr>
                <w:rFonts w:ascii="Cambria Math" w:hAnsi="Cambria Math"/>
                <w:lang w:eastAsia="en-US"/>
              </w:rPr>
              <m:t xml:space="preserve"> </m:t>
            </m:r>
          </m:e>
        </m:rad>
      </m:oMath>
      <w:r w:rsidRPr="00B65E1F">
        <w:rPr>
          <w:b/>
          <w:lang w:eastAsia="en-US"/>
        </w:rPr>
        <w:t xml:space="preserve">, where the radiating aperture </w:t>
      </w:r>
      <m:oMath>
        <m:sSub>
          <m:sSubPr>
            <m:ctrlPr>
              <w:rPr>
                <w:rFonts w:ascii="Cambria Math" w:hAnsi="Cambria Math"/>
                <w:b/>
                <w:lang w:eastAsia="en-US"/>
              </w:rPr>
            </m:ctrlPr>
          </m:sSubPr>
          <m:e>
            <m:r>
              <m:rPr>
                <m:sty m:val="bi"/>
              </m:rPr>
              <w:rPr>
                <w:rFonts w:ascii="Cambria Math" w:hAnsi="Cambria Math"/>
                <w:lang w:eastAsia="en-US"/>
              </w:rPr>
              <m:t>D</m:t>
            </m:r>
          </m:e>
          <m:sub>
            <m:r>
              <m:rPr>
                <m:sty m:val="bi"/>
              </m:rPr>
              <w:rPr>
                <w:rFonts w:ascii="Cambria Math" w:hAnsi="Cambria Math"/>
                <w:lang w:eastAsia="en-US"/>
              </w:rPr>
              <m:t>SE</m:t>
            </m:r>
          </m:sub>
        </m:sSub>
      </m:oMath>
      <w:r w:rsidRPr="00B65E1F">
        <w:rPr>
          <w:b/>
          <w:lang w:eastAsia="en-US"/>
        </w:rPr>
        <w:t xml:space="preserve"> for spurious emissions has to be further </w:t>
      </w:r>
      <w:r w:rsidRPr="002F0BEC">
        <w:rPr>
          <w:b/>
          <w:lang w:eastAsia="en-US"/>
        </w:rPr>
        <w:t>studied.</w:t>
      </w:r>
    </w:p>
    <w:p w14:paraId="48136C13" w14:textId="448B3916" w:rsidR="00EA397D" w:rsidRPr="002F0BEC" w:rsidRDefault="00EA397D" w:rsidP="00EA397D">
      <w:pPr>
        <w:rPr>
          <w:lang w:eastAsia="en-US"/>
        </w:rPr>
      </w:pPr>
      <w:r w:rsidRPr="002F0BEC">
        <w:rPr>
          <w:lang w:eastAsia="en-US"/>
        </w:rPr>
        <w:t xml:space="preserve">Similarly, obeying the DUT antenna configurations with a test system is important for the UE to form the beam correctly. However, since we do not expect that a spurious emission has phase coherence across different radiating elements, for spurious emission the distinguishing between different antenna categories is not relevant in our understanding. </w:t>
      </w:r>
    </w:p>
    <w:p w14:paraId="72315881" w14:textId="584A75CA" w:rsidR="00EA397D" w:rsidRPr="002F0BEC" w:rsidRDefault="00EA397D" w:rsidP="00EA397D">
      <w:pPr>
        <w:rPr>
          <w:b/>
          <w:lang w:eastAsia="en-US"/>
        </w:rPr>
      </w:pPr>
      <w:r w:rsidRPr="002F0BEC">
        <w:rPr>
          <w:b/>
          <w:lang w:eastAsia="en-US"/>
        </w:rPr>
        <w:t>Observation 2: For the measurement step of spurious emissions, the distinguishing between different antenna categories is not necessary.</w:t>
      </w:r>
    </w:p>
    <w:p w14:paraId="76805B04" w14:textId="77777777" w:rsidR="00EA397D" w:rsidRPr="002F0BEC" w:rsidRDefault="00EA397D" w:rsidP="00EA397D">
      <w:pPr>
        <w:rPr>
          <w:lang w:eastAsia="en-US"/>
        </w:rPr>
      </w:pPr>
    </w:p>
    <w:p w14:paraId="4090FCBE" w14:textId="3BD6C162" w:rsidR="00E60D61" w:rsidRPr="002F0BEC" w:rsidRDefault="00E60D61" w:rsidP="00E60D61">
      <w:pPr>
        <w:pStyle w:val="berschrift2"/>
      </w:pPr>
      <w:proofErr w:type="spellStart"/>
      <w:r w:rsidRPr="002F0BEC">
        <w:rPr>
          <w:lang w:val="de-DE"/>
        </w:rPr>
        <w:t>Metric</w:t>
      </w:r>
      <w:proofErr w:type="spellEnd"/>
    </w:p>
    <w:p w14:paraId="4F083C85" w14:textId="212F43C5" w:rsidR="0079462D" w:rsidRPr="002F0BEC" w:rsidRDefault="00E60D61" w:rsidP="009D3C74">
      <w:pPr>
        <w:rPr>
          <w:b/>
          <w:lang w:eastAsia="en-US"/>
        </w:rPr>
      </w:pPr>
      <w:r w:rsidRPr="002F0BEC">
        <w:rPr>
          <w:b/>
          <w:lang w:eastAsia="en-US"/>
        </w:rPr>
        <w:t xml:space="preserve">Proposal 4: Base the QoQZ for SE on </w:t>
      </w:r>
      <w:r w:rsidR="00F83C48" w:rsidRPr="002F0BEC">
        <w:rPr>
          <w:b/>
          <w:lang w:eastAsia="en-US"/>
        </w:rPr>
        <w:t>TRP/</w:t>
      </w:r>
      <w:r w:rsidRPr="002F0BEC">
        <w:rPr>
          <w:b/>
          <w:lang w:eastAsia="en-US"/>
        </w:rPr>
        <w:t>antenna efficiency measurements.</w:t>
      </w:r>
    </w:p>
    <w:p w14:paraId="64061626" w14:textId="78E7B81D" w:rsidR="00E03AF2" w:rsidRPr="002F0BEC" w:rsidRDefault="00E03AF2" w:rsidP="00E03AF2">
      <w:pPr>
        <w:pStyle w:val="berschrift2"/>
      </w:pPr>
      <w:proofErr w:type="spellStart"/>
      <w:r w:rsidRPr="002F0BEC">
        <w:rPr>
          <w:lang w:val="de-DE"/>
        </w:rPr>
        <w:t>Positions</w:t>
      </w:r>
      <w:proofErr w:type="spellEnd"/>
      <w:r w:rsidRPr="002F0BEC">
        <w:rPr>
          <w:lang w:val="de-DE"/>
        </w:rPr>
        <w:t xml:space="preserve"> </w:t>
      </w:r>
      <w:proofErr w:type="spellStart"/>
      <w:r w:rsidRPr="002F0BEC">
        <w:rPr>
          <w:lang w:val="de-DE"/>
        </w:rPr>
        <w:t>and</w:t>
      </w:r>
      <w:proofErr w:type="spellEnd"/>
      <w:r w:rsidRPr="002F0BEC">
        <w:rPr>
          <w:lang w:val="de-DE"/>
        </w:rPr>
        <w:t xml:space="preserve"> </w:t>
      </w:r>
      <w:proofErr w:type="spellStart"/>
      <w:r w:rsidRPr="002F0BEC">
        <w:rPr>
          <w:lang w:val="de-DE"/>
        </w:rPr>
        <w:t>Orientations</w:t>
      </w:r>
      <w:proofErr w:type="spellEnd"/>
    </w:p>
    <w:p w14:paraId="526D4B38" w14:textId="33D366FC" w:rsidR="0079462D" w:rsidRPr="002F0BEC" w:rsidRDefault="00E03AF2" w:rsidP="009D3C74">
      <w:pPr>
        <w:rPr>
          <w:lang w:eastAsia="en-US"/>
        </w:rPr>
      </w:pPr>
      <w:r w:rsidRPr="002F0BEC">
        <w:rPr>
          <w:lang w:eastAsia="en-US"/>
        </w:rPr>
        <w:t>In order to characterize the test volume the QoQZ has to be investigated at several positions.</w:t>
      </w:r>
    </w:p>
    <w:p w14:paraId="5022A83D" w14:textId="34429AAC" w:rsidR="00E03AF2" w:rsidRPr="002F0BEC" w:rsidRDefault="00E60D61" w:rsidP="009D3C74">
      <w:pPr>
        <w:rPr>
          <w:b/>
          <w:lang w:eastAsia="en-US"/>
        </w:rPr>
      </w:pPr>
      <w:r w:rsidRPr="002F0BEC">
        <w:rPr>
          <w:b/>
          <w:lang w:eastAsia="en-US"/>
        </w:rPr>
        <w:t>Proposal 5</w:t>
      </w:r>
      <w:r w:rsidR="00E03AF2" w:rsidRPr="002F0BEC">
        <w:rPr>
          <w:b/>
          <w:lang w:eastAsia="en-US"/>
        </w:rPr>
        <w:t>: Characterize the QoQZ</w:t>
      </w:r>
      <w:r w:rsidR="006E541B" w:rsidRPr="002F0BEC">
        <w:rPr>
          <w:b/>
          <w:lang w:eastAsia="en-US"/>
        </w:rPr>
        <w:t xml:space="preserve"> for SE</w:t>
      </w:r>
      <w:r w:rsidR="00E03AF2" w:rsidRPr="002F0BEC">
        <w:rPr>
          <w:b/>
          <w:lang w:eastAsia="en-US"/>
        </w:rPr>
        <w:t xml:space="preserve"> with measurements at the 7 positions P1 to P7 as defined for the in-band QoQZ.</w:t>
      </w:r>
    </w:p>
    <w:p w14:paraId="3D041E4B" w14:textId="1B058287" w:rsidR="00EA397D" w:rsidRDefault="00EA397D" w:rsidP="00EA397D">
      <w:pPr>
        <w:rPr>
          <w:b/>
          <w:lang w:eastAsia="en-US"/>
        </w:rPr>
      </w:pPr>
      <w:r w:rsidRPr="002F0BEC">
        <w:rPr>
          <w:b/>
          <w:lang w:eastAsia="en-US"/>
        </w:rPr>
        <w:t xml:space="preserve">Proposal 6: In order to optimize the test time, apply only a single reference orientation, </w:t>
      </w:r>
      <m:oMath>
        <m:r>
          <m:rPr>
            <m:sty m:val="bi"/>
          </m:rPr>
          <w:rPr>
            <w:rFonts w:ascii="Cambria Math" w:hAnsi="Cambria Math"/>
            <w:lang w:eastAsia="en-US"/>
          </w:rPr>
          <m:t>α=β=0°</m:t>
        </m:r>
      </m:oMath>
      <w:r w:rsidRPr="002F0BEC">
        <w:rPr>
          <w:b/>
          <w:lang w:eastAsia="en-US"/>
        </w:rPr>
        <w:t>,</w:t>
      </w:r>
      <w:r w:rsidRPr="002F0BEC">
        <w:t xml:space="preserve"> </w:t>
      </w:r>
      <w:r w:rsidRPr="002F0BEC">
        <w:rPr>
          <w:b/>
          <w:lang w:eastAsia="en-US"/>
        </w:rPr>
        <w:t xml:space="preserve"> and the two polarizations (</w:t>
      </w:r>
      <m:oMath>
        <m:sSub>
          <m:sSubPr>
            <m:ctrlPr>
              <w:rPr>
                <w:rFonts w:ascii="Cambria Math" w:hAnsi="Cambria Math"/>
                <w:b/>
                <w:i/>
                <w:lang w:eastAsia="en-US"/>
              </w:rPr>
            </m:ctrlPr>
          </m:sSubPr>
          <m:e>
            <m:r>
              <m:rPr>
                <m:sty m:val="bi"/>
              </m:rPr>
              <w:rPr>
                <w:rFonts w:ascii="Cambria Math" w:hAnsi="Cambria Math"/>
                <w:lang w:eastAsia="en-US"/>
              </w:rPr>
              <m:t>γ</m:t>
            </m:r>
          </m:e>
          <m:sub>
            <m:r>
              <m:rPr>
                <m:sty m:val="bi"/>
              </m:rPr>
              <w:rPr>
                <w:rFonts w:ascii="Cambria Math" w:hAnsi="Cambria Math"/>
                <w:lang w:eastAsia="en-US"/>
              </w:rPr>
              <m:t>pol</m:t>
            </m:r>
          </m:sub>
        </m:sSub>
        <m:r>
          <m:rPr>
            <m:sty m:val="bi"/>
          </m:rPr>
          <w:rPr>
            <w:rFonts w:ascii="Cambria Math" w:hAnsi="Cambria Math"/>
            <w:lang w:eastAsia="en-US"/>
          </w:rPr>
          <m:t xml:space="preserve">=0°, </m:t>
        </m:r>
        <m:sSub>
          <m:sSubPr>
            <m:ctrlPr>
              <w:rPr>
                <w:rFonts w:ascii="Cambria Math" w:hAnsi="Cambria Math"/>
                <w:b/>
                <w:i/>
                <w:lang w:eastAsia="en-US"/>
              </w:rPr>
            </m:ctrlPr>
          </m:sSubPr>
          <m:e>
            <m:r>
              <m:rPr>
                <m:sty m:val="bi"/>
              </m:rPr>
              <w:rPr>
                <w:rFonts w:ascii="Cambria Math" w:hAnsi="Cambria Math"/>
                <w:lang w:eastAsia="en-US"/>
              </w:rPr>
              <m:t>γ</m:t>
            </m:r>
          </m:e>
          <m:sub>
            <m:r>
              <m:rPr>
                <m:sty m:val="bi"/>
              </m:rPr>
              <w:rPr>
                <w:rFonts w:ascii="Cambria Math" w:hAnsi="Cambria Math"/>
                <w:lang w:eastAsia="en-US"/>
              </w:rPr>
              <m:t>pol</m:t>
            </m:r>
          </m:sub>
        </m:sSub>
        <m:r>
          <m:rPr>
            <m:sty m:val="bi"/>
          </m:rPr>
          <w:rPr>
            <w:rFonts w:ascii="Cambria Math" w:hAnsi="Cambria Math"/>
            <w:lang w:eastAsia="en-US"/>
          </w:rPr>
          <m:t>=90°</m:t>
        </m:r>
      </m:oMath>
      <w:r w:rsidRPr="002F0BEC">
        <w:rPr>
          <w:b/>
          <w:lang w:eastAsia="en-US"/>
        </w:rPr>
        <w:t>).</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F4303E">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F4303E">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F4303E">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2122E2C3" w:rsidR="00C77EBF" w:rsidRPr="00BC6E8D" w:rsidRDefault="00E03AF2" w:rsidP="00E03AF2">
            <w:pPr>
              <w:rPr>
                <w:lang w:val="en-GB" w:eastAsia="en-US"/>
              </w:rPr>
            </w:pPr>
            <w:r>
              <w:rPr>
                <w:lang w:val="en-GB" w:eastAsia="en-US"/>
              </w:rPr>
              <w:t xml:space="preserve">in-band UL up to 40 GHz </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96BDF49" w:rsidR="00C77EBF" w:rsidRPr="00BC6E8D" w:rsidRDefault="008029D6" w:rsidP="00E03AF2">
            <w:pPr>
              <w:rPr>
                <w:lang w:val="en-GB" w:eastAsia="en-US"/>
              </w:rPr>
            </w:pPr>
            <w:r>
              <w:rPr>
                <w:lang w:val="en-GB" w:eastAsia="en-US"/>
              </w:rPr>
              <w:t>no influence</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lastRenderedPageBreak/>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7777777" w:rsidR="00C77EBF" w:rsidRPr="00BC6E8D" w:rsidRDefault="00C77EBF" w:rsidP="00C77EBF">
            <w:pPr>
              <w:rPr>
                <w:lang w:val="en-GB" w:eastAsia="en-US"/>
              </w:rPr>
            </w:pPr>
            <w:r w:rsidRPr="00BC6E8D">
              <w:rPr>
                <w:lang w:val="en-GB" w:eastAsia="en-US"/>
              </w:rPr>
              <w:t>Power range for EIRP measurements considered at the conducted reference plane</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20422F7E" w:rsidR="00C77EBF" w:rsidRPr="00BC6E8D" w:rsidRDefault="00C77EBF" w:rsidP="00E03AF2">
            <w:pPr>
              <w:rPr>
                <w:lang w:val="en-GB" w:eastAsia="en-US"/>
              </w:rPr>
            </w:pPr>
            <w:r>
              <w:rPr>
                <w:lang w:val="en-GB" w:eastAsia="en-US"/>
              </w:rPr>
              <w:t>no influence</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7777777" w:rsidR="00C77EBF" w:rsidRPr="00BC6E8D" w:rsidRDefault="00C77EBF" w:rsidP="00C77EBF">
            <w:pPr>
              <w:rPr>
                <w:lang w:val="en-GB" w:eastAsia="en-US"/>
              </w:rPr>
            </w:pPr>
            <w:r w:rsidRPr="00BC6E8D">
              <w:rPr>
                <w:lang w:val="en-GB" w:eastAsia="en-US"/>
              </w:rPr>
              <w:t>Temperature variation impact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46B2C473" w:rsidR="00C77EBF" w:rsidRPr="00BC6E8D" w:rsidRDefault="00C77EBF" w:rsidP="00E03AF2">
            <w:pPr>
              <w:rPr>
                <w:lang w:val="en-GB" w:eastAsia="en-US"/>
              </w:rPr>
            </w:pPr>
            <w:r>
              <w:rPr>
                <w:lang w:val="en-GB" w:eastAsia="en-US"/>
              </w:rPr>
              <w:t>no influence</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7777777" w:rsidR="00C77EBF" w:rsidRPr="00BC6E8D" w:rsidRDefault="00C77EBF" w:rsidP="00C77EBF">
            <w:pPr>
              <w:rPr>
                <w:lang w:val="en-GB" w:eastAsia="en-US"/>
              </w:rPr>
            </w:pPr>
            <w:r w:rsidRPr="00BC6E8D">
              <w:rPr>
                <w:lang w:val="en-GB" w:eastAsia="en-US"/>
              </w:rPr>
              <w:t>Spectral flatness</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5A61989A" w:rsidR="00C77EBF" w:rsidRPr="00BC6E8D" w:rsidRDefault="00C77EBF" w:rsidP="00E03AF2">
            <w:pPr>
              <w:rPr>
                <w:lang w:val="en-GB" w:eastAsia="en-US"/>
              </w:rPr>
            </w:pPr>
            <w:r>
              <w:rPr>
                <w:lang w:val="en-GB" w:eastAsia="en-US"/>
              </w:rPr>
              <w:t>no influence</w:t>
            </w:r>
          </w:p>
        </w:tc>
      </w:tr>
      <w:tr w:rsidR="00C77EBF" w:rsidRPr="00BC6E8D" w14:paraId="25F3E7FA"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D78BC22" w14:textId="77777777" w:rsidR="00C77EBF" w:rsidRPr="00BC6E8D" w:rsidRDefault="00C77EBF" w:rsidP="00C77EBF">
            <w:pPr>
              <w:rPr>
                <w:lang w:val="en-GB" w:eastAsia="en-US"/>
              </w:rPr>
            </w:pPr>
            <w:r w:rsidRPr="00BC6E8D">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7BD64C33" w14:textId="77777777" w:rsidR="00C77EBF" w:rsidRPr="00BC6E8D" w:rsidRDefault="00C77EBF" w:rsidP="00C77EBF">
            <w:pPr>
              <w:rPr>
                <w:lang w:val="en-GB" w:eastAsia="en-US"/>
              </w:rPr>
            </w:pPr>
            <w:r w:rsidRPr="00BC6E8D">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7363749" w14:textId="476B74C9" w:rsidR="00C77EBF" w:rsidRPr="00BC6E8D" w:rsidRDefault="00C77EBF" w:rsidP="00E03AF2">
            <w:pPr>
              <w:rPr>
                <w:lang w:val="en-GB" w:eastAsia="en-US"/>
              </w:rPr>
            </w:pPr>
            <w:r>
              <w:rPr>
                <w:lang w:val="en-GB" w:eastAsia="en-US"/>
              </w:rPr>
              <w:t>no influence</w:t>
            </w:r>
          </w:p>
        </w:tc>
      </w:tr>
    </w:tbl>
    <w:p w14:paraId="003BC964" w14:textId="77777777" w:rsidR="00BC6E8D" w:rsidRPr="00BC6E8D" w:rsidRDefault="00BC6E8D" w:rsidP="00BC6E8D">
      <w:pPr>
        <w:rPr>
          <w:lang w:val="en-GB" w:eastAsia="en-US"/>
        </w:rPr>
      </w:pP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76461AEE" w:rsidR="00AA56D9" w:rsidRDefault="00873348" w:rsidP="00AA56D9">
      <w:pPr>
        <w:rPr>
          <w:lang w:eastAsia="en-US"/>
        </w:rPr>
      </w:pPr>
      <w:r>
        <w:rPr>
          <w:lang w:eastAsia="en-US"/>
        </w:rPr>
        <w:t>In summary, it is proposed to simplify the QoQZ procedure for spurious emissions</w:t>
      </w:r>
    </w:p>
    <w:p w14:paraId="7BBD1645" w14:textId="77777777" w:rsidR="005D1761" w:rsidRDefault="005D1761" w:rsidP="005D1761">
      <w:pPr>
        <w:jc w:val="both"/>
        <w:rPr>
          <w:b/>
          <w:lang w:eastAsia="en-US"/>
        </w:rPr>
      </w:pPr>
      <w:bookmarkStart w:id="3" w:name="_Ref473660868"/>
      <w:bookmarkStart w:id="4" w:name="_Ref473660708"/>
      <w:bookmarkStart w:id="5" w:name="OLE_LINK6"/>
      <w:bookmarkStart w:id="6" w:name="OLE_LINK7"/>
      <w:r w:rsidRPr="0079462D">
        <w:rPr>
          <w:b/>
          <w:lang w:eastAsia="en-US"/>
        </w:rPr>
        <w:t xml:space="preserve">Proposal 1: Allow the reuse of the subset of data of the in-band </w:t>
      </w:r>
      <w:r>
        <w:rPr>
          <w:b/>
          <w:lang w:eastAsia="en-US"/>
        </w:rPr>
        <w:t>QoQZ characterization</w:t>
      </w:r>
      <w:r w:rsidRPr="0079462D">
        <w:rPr>
          <w:b/>
          <w:lang w:eastAsia="en-US"/>
        </w:rPr>
        <w:t xml:space="preserve"> </w:t>
      </w:r>
      <w:r>
        <w:rPr>
          <w:b/>
          <w:lang w:eastAsia="en-US"/>
        </w:rPr>
        <w:t>for the analysis of the spurious emission QoQZ</w:t>
      </w:r>
      <w:r w:rsidRPr="0079462D">
        <w:rPr>
          <w:b/>
          <w:lang w:eastAsia="en-US"/>
        </w:rPr>
        <w:t xml:space="preserve"> under the condition that the reference antenna position and orientation as well as the measurement frequency and measurement antenna are identical in both cases. </w:t>
      </w:r>
    </w:p>
    <w:p w14:paraId="7372797C" w14:textId="73B6152F" w:rsidR="00756A57" w:rsidRDefault="00756A57" w:rsidP="00756A57">
      <w:pPr>
        <w:jc w:val="both"/>
        <w:rPr>
          <w:b/>
          <w:lang w:eastAsia="en-US"/>
        </w:rPr>
      </w:pPr>
      <w:r>
        <w:rPr>
          <w:b/>
          <w:lang w:eastAsia="en-US"/>
        </w:rPr>
        <w:t>Proposal 2: The quality of quiet zone shall be characterized at 6 GHz, 12.75 GHz, 23.45 GHz, 40.8 GHz, 6</w:t>
      </w:r>
      <w:r w:rsidR="002C31AB">
        <w:rPr>
          <w:b/>
          <w:lang w:eastAsia="en-US"/>
        </w:rPr>
        <w:t>0</w:t>
      </w:r>
      <w:r>
        <w:rPr>
          <w:b/>
          <w:lang w:eastAsia="en-US"/>
        </w:rPr>
        <w:t> GHz, and 80 GHz.</w:t>
      </w:r>
    </w:p>
    <w:p w14:paraId="5A8552D2" w14:textId="77777777" w:rsidR="00744162" w:rsidRPr="0079462D" w:rsidRDefault="00744162" w:rsidP="00744162">
      <w:pPr>
        <w:rPr>
          <w:b/>
          <w:lang w:eastAsia="en-US"/>
        </w:rPr>
      </w:pPr>
      <w:r w:rsidRPr="0079462D">
        <w:rPr>
          <w:b/>
          <w:lang w:eastAsia="en-US"/>
        </w:rPr>
        <w:t>Observation 1: For the spurious emission the TRP measurements can reliably be performed in the radiative near field distance provided that the beam has been formed and locked with a DL signal with far field characteristics.</w:t>
      </w:r>
    </w:p>
    <w:p w14:paraId="6EEE1243" w14:textId="7A54400E" w:rsidR="00A43D4D" w:rsidRDefault="00A43D4D" w:rsidP="00A43D4D">
      <w:pPr>
        <w:rPr>
          <w:b/>
          <w:lang w:eastAsia="en-US"/>
        </w:rPr>
      </w:pPr>
      <w:r w:rsidRPr="0079462D">
        <w:rPr>
          <w:b/>
          <w:lang w:eastAsia="en-US"/>
        </w:rPr>
        <w:t xml:space="preserve">Proposal </w:t>
      </w:r>
      <w:r>
        <w:rPr>
          <w:b/>
          <w:lang w:eastAsia="en-US"/>
        </w:rPr>
        <w:t>3</w:t>
      </w:r>
      <w:r w:rsidRPr="0079462D">
        <w:rPr>
          <w:b/>
          <w:lang w:eastAsia="en-US"/>
        </w:rPr>
        <w:t xml:space="preserve">: </w:t>
      </w:r>
      <w:r>
        <w:rPr>
          <w:b/>
          <w:lang w:eastAsia="en-US"/>
        </w:rPr>
        <w:t>Set t</w:t>
      </w:r>
      <w:r w:rsidRPr="0079462D">
        <w:rPr>
          <w:b/>
          <w:lang w:eastAsia="en-US"/>
        </w:rPr>
        <w:t xml:space="preserve">he minimum measurement distance of a DFF spurious emission test systems </w:t>
      </w:r>
      <w:r>
        <w:rPr>
          <w:b/>
          <w:lang w:eastAsia="en-US"/>
        </w:rPr>
        <w:t xml:space="preserve">to </w:t>
      </w:r>
      <w:r w:rsidRPr="0079462D">
        <w:rPr>
          <w:b/>
          <w:lang w:eastAsia="en-US"/>
        </w:rPr>
        <w:t xml:space="preserve">the radiative near field </w:t>
      </w:r>
      <w:r>
        <w:rPr>
          <w:b/>
          <w:lang w:eastAsia="en-US"/>
        </w:rPr>
        <w:t xml:space="preserve">distance only </w:t>
      </w:r>
      <w:r w:rsidRPr="0079462D">
        <w:rPr>
          <w:b/>
          <w:lang w:eastAsia="en-US"/>
        </w:rPr>
        <w:t>for the spurious emission measurement under the condition that the DL signal fulfills the far</w:t>
      </w:r>
      <w:r>
        <w:rPr>
          <w:b/>
          <w:lang w:eastAsia="en-US"/>
        </w:rPr>
        <w:t>-</w:t>
      </w:r>
      <w:r w:rsidRPr="0079462D">
        <w:rPr>
          <w:b/>
          <w:lang w:eastAsia="en-US"/>
        </w:rPr>
        <w:t>field requirement during the beam forming step in the test procedure.</w:t>
      </w:r>
      <w:r>
        <w:rPr>
          <w:b/>
          <w:lang w:eastAsia="en-US"/>
        </w:rPr>
        <w:t xml:space="preserve"> The radiative near field distance is given by </w:t>
      </w:r>
      <m:oMath>
        <m:r>
          <m:rPr>
            <m:sty m:val="b"/>
          </m:rPr>
          <w:rPr>
            <w:rFonts w:ascii="Cambria Math" w:hAnsi="Cambria Math"/>
            <w:lang w:eastAsia="en-US"/>
          </w:rPr>
          <m:t>0.62</m:t>
        </m:r>
        <m:rad>
          <m:radPr>
            <m:degHide m:val="1"/>
            <m:ctrlPr>
              <w:rPr>
                <w:rFonts w:ascii="Cambria Math" w:hAnsi="Cambria Math"/>
                <w:b/>
                <w:lang w:eastAsia="en-US"/>
              </w:rPr>
            </m:ctrlPr>
          </m:radPr>
          <m:deg/>
          <m:e>
            <m:sSubSup>
              <m:sSubSupPr>
                <m:ctrlPr>
                  <w:rPr>
                    <w:rFonts w:ascii="Cambria Math" w:hAnsi="Cambria Math"/>
                    <w:b/>
                    <w:lang w:eastAsia="en-US"/>
                  </w:rPr>
                </m:ctrlPr>
              </m:sSubSupPr>
              <m:e>
                <m:r>
                  <m:rPr>
                    <m:sty m:val="bi"/>
                  </m:rPr>
                  <w:rPr>
                    <w:rFonts w:ascii="Cambria Math" w:hAnsi="Cambria Math"/>
                    <w:lang w:eastAsia="en-US"/>
                  </w:rPr>
                  <m:t>D</m:t>
                </m:r>
              </m:e>
              <m:sub>
                <m:r>
                  <m:rPr>
                    <m:sty m:val="bi"/>
                  </m:rPr>
                  <w:rPr>
                    <w:rFonts w:ascii="Cambria Math" w:hAnsi="Cambria Math"/>
                    <w:lang w:eastAsia="en-US"/>
                  </w:rPr>
                  <m:t>SE</m:t>
                </m:r>
              </m:sub>
              <m:sup>
                <m:r>
                  <m:rPr>
                    <m:sty m:val="b"/>
                  </m:rPr>
                  <w:rPr>
                    <w:rFonts w:ascii="Cambria Math" w:hAnsi="Cambria Math"/>
                    <w:lang w:eastAsia="en-US"/>
                  </w:rPr>
                  <m:t>3</m:t>
                </m:r>
              </m:sup>
            </m:sSubSup>
            <m:r>
              <m:rPr>
                <m:sty m:val="b"/>
              </m:rPr>
              <w:rPr>
                <w:rFonts w:ascii="Cambria Math" w:hAnsi="Cambria Math"/>
                <w:lang w:eastAsia="en-US"/>
              </w:rPr>
              <m:t>/</m:t>
            </m:r>
            <m:r>
              <m:rPr>
                <m:sty m:val="bi"/>
              </m:rPr>
              <w:rPr>
                <w:rFonts w:ascii="Cambria Math" w:hAnsi="Cambria Math"/>
                <w:lang w:eastAsia="en-US"/>
              </w:rPr>
              <m:t>λ</m:t>
            </m:r>
            <m:r>
              <m:rPr>
                <m:sty m:val="b"/>
              </m:rPr>
              <w:rPr>
                <w:rFonts w:ascii="Cambria Math" w:hAnsi="Cambria Math"/>
                <w:lang w:eastAsia="en-US"/>
              </w:rPr>
              <m:t xml:space="preserve"> </m:t>
            </m:r>
          </m:e>
        </m:rad>
      </m:oMath>
      <w:r w:rsidRPr="00B65E1F">
        <w:rPr>
          <w:b/>
          <w:lang w:eastAsia="en-US"/>
        </w:rPr>
        <w:t xml:space="preserve">, where the radiating aperture </w:t>
      </w:r>
      <m:oMath>
        <m:sSub>
          <m:sSubPr>
            <m:ctrlPr>
              <w:rPr>
                <w:rFonts w:ascii="Cambria Math" w:hAnsi="Cambria Math"/>
                <w:b/>
                <w:lang w:eastAsia="en-US"/>
              </w:rPr>
            </m:ctrlPr>
          </m:sSubPr>
          <m:e>
            <m:r>
              <m:rPr>
                <m:sty m:val="bi"/>
              </m:rPr>
              <w:rPr>
                <w:rFonts w:ascii="Cambria Math" w:hAnsi="Cambria Math"/>
                <w:lang w:eastAsia="en-US"/>
              </w:rPr>
              <m:t>D</m:t>
            </m:r>
          </m:e>
          <m:sub>
            <m:r>
              <m:rPr>
                <m:sty m:val="bi"/>
              </m:rPr>
              <w:rPr>
                <w:rFonts w:ascii="Cambria Math" w:hAnsi="Cambria Math"/>
                <w:lang w:eastAsia="en-US"/>
              </w:rPr>
              <m:t>SE</m:t>
            </m:r>
          </m:sub>
        </m:sSub>
      </m:oMath>
      <w:r w:rsidRPr="00B65E1F">
        <w:rPr>
          <w:b/>
          <w:lang w:eastAsia="en-US"/>
        </w:rPr>
        <w:t xml:space="preserve"> for spurious emissions has to be further studied.</w:t>
      </w:r>
    </w:p>
    <w:p w14:paraId="725C15DA" w14:textId="0AEDBED3" w:rsidR="008D18FC" w:rsidRPr="002F0BEC" w:rsidRDefault="008D18FC" w:rsidP="008D18FC">
      <w:pPr>
        <w:rPr>
          <w:b/>
          <w:lang w:eastAsia="en-US"/>
        </w:rPr>
      </w:pPr>
      <w:r w:rsidRPr="002F0BEC">
        <w:rPr>
          <w:b/>
          <w:lang w:eastAsia="en-US"/>
        </w:rPr>
        <w:t xml:space="preserve">Proposal 4: Base the QoQZ for SE on </w:t>
      </w:r>
      <w:r w:rsidR="00F83C48" w:rsidRPr="002F0BEC">
        <w:rPr>
          <w:b/>
          <w:lang w:eastAsia="en-US"/>
        </w:rPr>
        <w:t>TRP/</w:t>
      </w:r>
      <w:r w:rsidRPr="002F0BEC">
        <w:rPr>
          <w:b/>
          <w:lang w:eastAsia="en-US"/>
        </w:rPr>
        <w:t>antenna efficiency measurements.</w:t>
      </w:r>
    </w:p>
    <w:p w14:paraId="22BB5D3D" w14:textId="77777777" w:rsidR="00B63F4F" w:rsidRPr="002F0BEC" w:rsidRDefault="00B63F4F" w:rsidP="00B63F4F">
      <w:pPr>
        <w:rPr>
          <w:b/>
          <w:lang w:eastAsia="en-US"/>
        </w:rPr>
      </w:pPr>
      <w:r w:rsidRPr="002F0BEC">
        <w:rPr>
          <w:b/>
          <w:lang w:eastAsia="en-US"/>
        </w:rPr>
        <w:t>Observation 2: For the measurement step of spurious emissions, the distinguishing between different antenna categories is not necessary.</w:t>
      </w:r>
    </w:p>
    <w:p w14:paraId="70A44D1F" w14:textId="281F9C68" w:rsidR="00873348" w:rsidRPr="002F0BEC" w:rsidRDefault="008D18FC" w:rsidP="00873348">
      <w:pPr>
        <w:rPr>
          <w:b/>
          <w:lang w:eastAsia="en-US"/>
        </w:rPr>
      </w:pPr>
      <w:r w:rsidRPr="002F0BEC">
        <w:rPr>
          <w:b/>
          <w:lang w:eastAsia="en-US"/>
        </w:rPr>
        <w:t>Proposal 5</w:t>
      </w:r>
      <w:r w:rsidR="00873348" w:rsidRPr="002F0BEC">
        <w:rPr>
          <w:b/>
          <w:lang w:eastAsia="en-US"/>
        </w:rPr>
        <w:t>: Characterize the QoQZ with measurements at the 7 positions P1 to P7 as defined for the in-band QoQZ.</w:t>
      </w:r>
    </w:p>
    <w:p w14:paraId="632E79A3" w14:textId="77777777" w:rsidR="00B63F4F" w:rsidRDefault="00B63F4F" w:rsidP="00B63F4F">
      <w:pPr>
        <w:rPr>
          <w:b/>
          <w:lang w:eastAsia="en-US"/>
        </w:rPr>
      </w:pPr>
      <w:r w:rsidRPr="002F0BEC">
        <w:rPr>
          <w:b/>
          <w:lang w:eastAsia="en-US"/>
        </w:rPr>
        <w:t xml:space="preserve">Proposal 6: In order to optimize the test time, apply only a single reference orientation, </w:t>
      </w:r>
      <m:oMath>
        <m:r>
          <m:rPr>
            <m:sty m:val="bi"/>
          </m:rPr>
          <w:rPr>
            <w:rFonts w:ascii="Cambria Math" w:hAnsi="Cambria Math"/>
            <w:lang w:eastAsia="en-US"/>
          </w:rPr>
          <m:t>α=β=0°</m:t>
        </m:r>
      </m:oMath>
      <w:r w:rsidRPr="002F0BEC">
        <w:rPr>
          <w:b/>
          <w:lang w:eastAsia="en-US"/>
        </w:rPr>
        <w:t>,</w:t>
      </w:r>
      <w:r w:rsidRPr="002F0BEC">
        <w:t xml:space="preserve"> </w:t>
      </w:r>
      <w:r w:rsidRPr="002F0BEC">
        <w:rPr>
          <w:b/>
          <w:lang w:eastAsia="en-US"/>
        </w:rPr>
        <w:t xml:space="preserve"> and the two polarizations (</w:t>
      </w:r>
      <m:oMath>
        <m:sSub>
          <m:sSubPr>
            <m:ctrlPr>
              <w:rPr>
                <w:rFonts w:ascii="Cambria Math" w:hAnsi="Cambria Math"/>
                <w:b/>
                <w:i/>
                <w:lang w:eastAsia="en-US"/>
              </w:rPr>
            </m:ctrlPr>
          </m:sSubPr>
          <m:e>
            <m:r>
              <m:rPr>
                <m:sty m:val="bi"/>
              </m:rPr>
              <w:rPr>
                <w:rFonts w:ascii="Cambria Math" w:hAnsi="Cambria Math"/>
                <w:lang w:eastAsia="en-US"/>
              </w:rPr>
              <m:t>γ</m:t>
            </m:r>
          </m:e>
          <m:sub>
            <m:r>
              <m:rPr>
                <m:sty m:val="bi"/>
              </m:rPr>
              <w:rPr>
                <w:rFonts w:ascii="Cambria Math" w:hAnsi="Cambria Math"/>
                <w:lang w:eastAsia="en-US"/>
              </w:rPr>
              <m:t>pol</m:t>
            </m:r>
          </m:sub>
        </m:sSub>
        <m:r>
          <m:rPr>
            <m:sty m:val="bi"/>
          </m:rPr>
          <w:rPr>
            <w:rFonts w:ascii="Cambria Math" w:hAnsi="Cambria Math"/>
            <w:lang w:eastAsia="en-US"/>
          </w:rPr>
          <m:t xml:space="preserve">=0°, </m:t>
        </m:r>
        <m:sSub>
          <m:sSubPr>
            <m:ctrlPr>
              <w:rPr>
                <w:rFonts w:ascii="Cambria Math" w:hAnsi="Cambria Math"/>
                <w:b/>
                <w:i/>
                <w:lang w:eastAsia="en-US"/>
              </w:rPr>
            </m:ctrlPr>
          </m:sSubPr>
          <m:e>
            <m:r>
              <m:rPr>
                <m:sty m:val="bi"/>
              </m:rPr>
              <w:rPr>
                <w:rFonts w:ascii="Cambria Math" w:hAnsi="Cambria Math"/>
                <w:lang w:eastAsia="en-US"/>
              </w:rPr>
              <m:t>γ</m:t>
            </m:r>
          </m:e>
          <m:sub>
            <m:r>
              <m:rPr>
                <m:sty m:val="bi"/>
              </m:rPr>
              <w:rPr>
                <w:rFonts w:ascii="Cambria Math" w:hAnsi="Cambria Math"/>
                <w:lang w:eastAsia="en-US"/>
              </w:rPr>
              <m:t>pol</m:t>
            </m:r>
          </m:sub>
        </m:sSub>
        <m:r>
          <m:rPr>
            <m:sty m:val="bi"/>
          </m:rPr>
          <w:rPr>
            <w:rFonts w:ascii="Cambria Math" w:hAnsi="Cambria Math"/>
            <w:lang w:eastAsia="en-US"/>
          </w:rPr>
          <m:t>=90°</m:t>
        </m:r>
      </m:oMath>
      <w:r w:rsidRPr="002F0BEC">
        <w:rPr>
          <w:b/>
          <w:lang w:eastAsia="en-US"/>
        </w:rPr>
        <w:t>).</w:t>
      </w:r>
    </w:p>
    <w:p w14:paraId="63D9AB87" w14:textId="77777777" w:rsidR="00873348" w:rsidRPr="0079462D" w:rsidRDefault="00873348" w:rsidP="00873348">
      <w:pPr>
        <w:jc w:val="both"/>
        <w:rPr>
          <w:b/>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lastRenderedPageBreak/>
        <w:t>References</w:t>
      </w:r>
    </w:p>
    <w:p w14:paraId="6AED9EF5" w14:textId="633C22D6" w:rsidR="00E446E8" w:rsidRDefault="00F85B1A" w:rsidP="0098321E">
      <w:pPr>
        <w:pStyle w:val="Listenabsatz"/>
        <w:numPr>
          <w:ilvl w:val="0"/>
          <w:numId w:val="4"/>
        </w:numPr>
        <w:spacing w:after="0" w:line="240" w:lineRule="auto"/>
        <w:rPr>
          <w:lang w:val="en-GB"/>
        </w:rPr>
      </w:pPr>
      <w:r>
        <w:rPr>
          <w:lang w:val="en-GB"/>
        </w:rPr>
        <w:t xml:space="preserve">J. </w:t>
      </w:r>
      <w:proofErr w:type="spellStart"/>
      <w:r>
        <w:rPr>
          <w:lang w:val="en-GB"/>
        </w:rPr>
        <w:t>Fridén</w:t>
      </w:r>
      <w:proofErr w:type="spellEnd"/>
      <w:r>
        <w:rPr>
          <w:lang w:val="en-GB"/>
        </w:rPr>
        <w:t xml:space="preserve"> et al., Angular Sampling, Test Signal, and Near-Field Aspects for OTA Total Radiated Power Assessment, </w:t>
      </w:r>
      <w:proofErr w:type="spellStart"/>
      <w:r>
        <w:rPr>
          <w:lang w:val="en-GB"/>
        </w:rPr>
        <w:t>IEEEAccess</w:t>
      </w:r>
      <w:proofErr w:type="spellEnd"/>
      <w:r>
        <w:rPr>
          <w:lang w:val="en-GB"/>
        </w:rPr>
        <w:t>, 6, 57826 (2018)</w:t>
      </w:r>
      <w:r w:rsidR="0098321E">
        <w:rPr>
          <w:lang w:val="en-GB"/>
        </w:rPr>
        <w:t>, DOI:</w:t>
      </w:r>
      <w:r w:rsidR="0098321E" w:rsidRPr="0098321E">
        <w:rPr>
          <w:lang w:val="en-US"/>
        </w:rPr>
        <w:t xml:space="preserve"> </w:t>
      </w:r>
      <w:r w:rsidR="0098321E" w:rsidRPr="0098321E">
        <w:rPr>
          <w:lang w:val="en-GB"/>
        </w:rPr>
        <w:t>10.1109/ACCESS.2018.2871708</w:t>
      </w:r>
    </w:p>
    <w:bookmarkEnd w:id="3"/>
    <w:bookmarkEnd w:id="4"/>
    <w:bookmarkEnd w:id="5"/>
    <w:bookmarkEnd w:id="6"/>
    <w:p w14:paraId="15114A9B" w14:textId="77777777" w:rsidR="0098321E" w:rsidRDefault="0098321E" w:rsidP="001A78B4">
      <w:pPr>
        <w:pStyle w:val="Listenabsatz"/>
        <w:numPr>
          <w:ilvl w:val="0"/>
          <w:numId w:val="0"/>
        </w:numPr>
        <w:spacing w:after="0" w:line="240" w:lineRule="auto"/>
        <w:ind w:left="360"/>
        <w:rPr>
          <w:lang w:val="en-GB"/>
        </w:rPr>
      </w:pPr>
    </w:p>
    <w:sectPr w:rsidR="0098321E"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3F05E" w14:textId="77777777" w:rsidR="007E4DD2" w:rsidRDefault="007E4DD2" w:rsidP="00371D7D">
      <w:r>
        <w:separator/>
      </w:r>
    </w:p>
  </w:endnote>
  <w:endnote w:type="continuationSeparator" w:id="0">
    <w:p w14:paraId="7323D209" w14:textId="77777777" w:rsidR="007E4DD2" w:rsidRDefault="007E4DD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CC9539A"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DE425F">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4E073" w14:textId="77777777" w:rsidR="007E4DD2" w:rsidRDefault="007E4DD2" w:rsidP="00371D7D">
      <w:r>
        <w:separator/>
      </w:r>
    </w:p>
  </w:footnote>
  <w:footnote w:type="continuationSeparator" w:id="0">
    <w:p w14:paraId="21396EF2" w14:textId="77777777" w:rsidR="007E4DD2" w:rsidRDefault="007E4DD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8AB"/>
    <w:rsid w:val="000D79F1"/>
    <w:rsid w:val="000E00AB"/>
    <w:rsid w:val="000E0AB9"/>
    <w:rsid w:val="000E444E"/>
    <w:rsid w:val="000E5AAB"/>
    <w:rsid w:val="000E75B0"/>
    <w:rsid w:val="000E7B1E"/>
    <w:rsid w:val="000F07A2"/>
    <w:rsid w:val="000F2169"/>
    <w:rsid w:val="000F6436"/>
    <w:rsid w:val="00100D39"/>
    <w:rsid w:val="0010135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78B4"/>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0861"/>
    <w:rsid w:val="0023375F"/>
    <w:rsid w:val="00234DAE"/>
    <w:rsid w:val="00237EE7"/>
    <w:rsid w:val="00240D2A"/>
    <w:rsid w:val="002415D9"/>
    <w:rsid w:val="00242A1D"/>
    <w:rsid w:val="00243E93"/>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1AB"/>
    <w:rsid w:val="002C3A4F"/>
    <w:rsid w:val="002C48E9"/>
    <w:rsid w:val="002C75A4"/>
    <w:rsid w:val="002D0A92"/>
    <w:rsid w:val="002D0C60"/>
    <w:rsid w:val="002D394E"/>
    <w:rsid w:val="002D5691"/>
    <w:rsid w:val="002E0D1B"/>
    <w:rsid w:val="002E1075"/>
    <w:rsid w:val="002E3CF0"/>
    <w:rsid w:val="002E434E"/>
    <w:rsid w:val="002E74E5"/>
    <w:rsid w:val="002F0BEC"/>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4002C9"/>
    <w:rsid w:val="004033E9"/>
    <w:rsid w:val="004120AE"/>
    <w:rsid w:val="004137F2"/>
    <w:rsid w:val="004149E9"/>
    <w:rsid w:val="00420D58"/>
    <w:rsid w:val="00423201"/>
    <w:rsid w:val="004257E2"/>
    <w:rsid w:val="0043036D"/>
    <w:rsid w:val="004324FB"/>
    <w:rsid w:val="004325A5"/>
    <w:rsid w:val="00432A57"/>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7E7"/>
    <w:rsid w:val="00533FBD"/>
    <w:rsid w:val="00534096"/>
    <w:rsid w:val="005346EC"/>
    <w:rsid w:val="00534B99"/>
    <w:rsid w:val="005356CB"/>
    <w:rsid w:val="005374EC"/>
    <w:rsid w:val="00537AA4"/>
    <w:rsid w:val="00542862"/>
    <w:rsid w:val="005430C7"/>
    <w:rsid w:val="005466D7"/>
    <w:rsid w:val="005478DC"/>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3905"/>
    <w:rsid w:val="00586465"/>
    <w:rsid w:val="00590023"/>
    <w:rsid w:val="00594B54"/>
    <w:rsid w:val="005964E4"/>
    <w:rsid w:val="005A04AB"/>
    <w:rsid w:val="005A09F0"/>
    <w:rsid w:val="005C1279"/>
    <w:rsid w:val="005C517E"/>
    <w:rsid w:val="005C5210"/>
    <w:rsid w:val="005C576D"/>
    <w:rsid w:val="005C72FD"/>
    <w:rsid w:val="005C7C01"/>
    <w:rsid w:val="005D1761"/>
    <w:rsid w:val="005D21DE"/>
    <w:rsid w:val="005D278E"/>
    <w:rsid w:val="005D36C5"/>
    <w:rsid w:val="005D37FD"/>
    <w:rsid w:val="005D3C2A"/>
    <w:rsid w:val="005D4744"/>
    <w:rsid w:val="005D4B7F"/>
    <w:rsid w:val="005D5F80"/>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274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FD0"/>
    <w:rsid w:val="006D46B5"/>
    <w:rsid w:val="006D4EE3"/>
    <w:rsid w:val="006E1A7C"/>
    <w:rsid w:val="006E1D64"/>
    <w:rsid w:val="006E4F64"/>
    <w:rsid w:val="006E541B"/>
    <w:rsid w:val="006E5BCE"/>
    <w:rsid w:val="006E6577"/>
    <w:rsid w:val="006E7C54"/>
    <w:rsid w:val="006F1D3A"/>
    <w:rsid w:val="006F2C16"/>
    <w:rsid w:val="006F4D66"/>
    <w:rsid w:val="006F563A"/>
    <w:rsid w:val="006F73CF"/>
    <w:rsid w:val="006F7C37"/>
    <w:rsid w:val="0070104D"/>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D87"/>
    <w:rsid w:val="00735D1F"/>
    <w:rsid w:val="00744162"/>
    <w:rsid w:val="00744D61"/>
    <w:rsid w:val="007463C7"/>
    <w:rsid w:val="00746B62"/>
    <w:rsid w:val="007477D2"/>
    <w:rsid w:val="00747FFE"/>
    <w:rsid w:val="007510C4"/>
    <w:rsid w:val="00756A57"/>
    <w:rsid w:val="00757245"/>
    <w:rsid w:val="00757D7D"/>
    <w:rsid w:val="00761AED"/>
    <w:rsid w:val="007636DE"/>
    <w:rsid w:val="0076378D"/>
    <w:rsid w:val="00765F55"/>
    <w:rsid w:val="007706D0"/>
    <w:rsid w:val="00773BDA"/>
    <w:rsid w:val="00773C96"/>
    <w:rsid w:val="00773DCA"/>
    <w:rsid w:val="007742E7"/>
    <w:rsid w:val="00776D6B"/>
    <w:rsid w:val="00780B7D"/>
    <w:rsid w:val="007827F7"/>
    <w:rsid w:val="007842C7"/>
    <w:rsid w:val="007927C1"/>
    <w:rsid w:val="00793EA4"/>
    <w:rsid w:val="007944C3"/>
    <w:rsid w:val="0079462D"/>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4DD2"/>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3348"/>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18FC"/>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2501E"/>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21E"/>
    <w:rsid w:val="009833B0"/>
    <w:rsid w:val="00984C8B"/>
    <w:rsid w:val="00984FE8"/>
    <w:rsid w:val="009863CE"/>
    <w:rsid w:val="00987740"/>
    <w:rsid w:val="00987C1F"/>
    <w:rsid w:val="009926B6"/>
    <w:rsid w:val="009943F3"/>
    <w:rsid w:val="0099496E"/>
    <w:rsid w:val="009955B7"/>
    <w:rsid w:val="00997680"/>
    <w:rsid w:val="009A1270"/>
    <w:rsid w:val="009A246E"/>
    <w:rsid w:val="009B1044"/>
    <w:rsid w:val="009B225E"/>
    <w:rsid w:val="009B3EA0"/>
    <w:rsid w:val="009C0CB9"/>
    <w:rsid w:val="009C2950"/>
    <w:rsid w:val="009C51E1"/>
    <w:rsid w:val="009C536C"/>
    <w:rsid w:val="009C5C15"/>
    <w:rsid w:val="009C6FFB"/>
    <w:rsid w:val="009D2231"/>
    <w:rsid w:val="009D3030"/>
    <w:rsid w:val="009D35E8"/>
    <w:rsid w:val="009D3C74"/>
    <w:rsid w:val="009D52EB"/>
    <w:rsid w:val="009D580B"/>
    <w:rsid w:val="009D713C"/>
    <w:rsid w:val="009D7EBE"/>
    <w:rsid w:val="009E107A"/>
    <w:rsid w:val="009E2D40"/>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D3A"/>
    <w:rsid w:val="00A353DC"/>
    <w:rsid w:val="00A40BA0"/>
    <w:rsid w:val="00A42596"/>
    <w:rsid w:val="00A43D4D"/>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246"/>
    <w:rsid w:val="00A76DBE"/>
    <w:rsid w:val="00A76DEB"/>
    <w:rsid w:val="00A777EC"/>
    <w:rsid w:val="00A802ED"/>
    <w:rsid w:val="00A8281C"/>
    <w:rsid w:val="00A8311E"/>
    <w:rsid w:val="00A83A48"/>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4DD"/>
    <w:rsid w:val="00AD2B85"/>
    <w:rsid w:val="00AE18A0"/>
    <w:rsid w:val="00AE376A"/>
    <w:rsid w:val="00AE3E63"/>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2829"/>
    <w:rsid w:val="00B548F0"/>
    <w:rsid w:val="00B55C47"/>
    <w:rsid w:val="00B57FE5"/>
    <w:rsid w:val="00B60110"/>
    <w:rsid w:val="00B61206"/>
    <w:rsid w:val="00B618F7"/>
    <w:rsid w:val="00B6395C"/>
    <w:rsid w:val="00B63F4F"/>
    <w:rsid w:val="00B65660"/>
    <w:rsid w:val="00B65E1E"/>
    <w:rsid w:val="00B65E1F"/>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B0FAA"/>
    <w:rsid w:val="00BB1E78"/>
    <w:rsid w:val="00BB2E34"/>
    <w:rsid w:val="00BB2F5E"/>
    <w:rsid w:val="00BB3DBA"/>
    <w:rsid w:val="00BB567F"/>
    <w:rsid w:val="00BB601B"/>
    <w:rsid w:val="00BB61DB"/>
    <w:rsid w:val="00BB6A4C"/>
    <w:rsid w:val="00BC0823"/>
    <w:rsid w:val="00BC0850"/>
    <w:rsid w:val="00BC08FC"/>
    <w:rsid w:val="00BC6E8D"/>
    <w:rsid w:val="00BD0D1A"/>
    <w:rsid w:val="00BD13E2"/>
    <w:rsid w:val="00BD1B6F"/>
    <w:rsid w:val="00BD2ECF"/>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25F"/>
    <w:rsid w:val="00DE4276"/>
    <w:rsid w:val="00DE4E25"/>
    <w:rsid w:val="00DE6819"/>
    <w:rsid w:val="00DF11A3"/>
    <w:rsid w:val="00DF19E8"/>
    <w:rsid w:val="00DF443F"/>
    <w:rsid w:val="00DF66C6"/>
    <w:rsid w:val="00E00CA2"/>
    <w:rsid w:val="00E01FA1"/>
    <w:rsid w:val="00E03811"/>
    <w:rsid w:val="00E03AF2"/>
    <w:rsid w:val="00E03F84"/>
    <w:rsid w:val="00E053C0"/>
    <w:rsid w:val="00E10AF0"/>
    <w:rsid w:val="00E10B00"/>
    <w:rsid w:val="00E11816"/>
    <w:rsid w:val="00E13759"/>
    <w:rsid w:val="00E13D12"/>
    <w:rsid w:val="00E15476"/>
    <w:rsid w:val="00E15AC0"/>
    <w:rsid w:val="00E15E59"/>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0D61"/>
    <w:rsid w:val="00E617F3"/>
    <w:rsid w:val="00E61903"/>
    <w:rsid w:val="00E66596"/>
    <w:rsid w:val="00E67A6F"/>
    <w:rsid w:val="00E67B86"/>
    <w:rsid w:val="00E736DC"/>
    <w:rsid w:val="00E740C8"/>
    <w:rsid w:val="00E74332"/>
    <w:rsid w:val="00E74BB0"/>
    <w:rsid w:val="00E74BBE"/>
    <w:rsid w:val="00E74BCE"/>
    <w:rsid w:val="00E76211"/>
    <w:rsid w:val="00E77A93"/>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397D"/>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117B"/>
    <w:rsid w:val="00F12AF0"/>
    <w:rsid w:val="00F14876"/>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67D6"/>
    <w:rsid w:val="00F678D1"/>
    <w:rsid w:val="00F71811"/>
    <w:rsid w:val="00F747A8"/>
    <w:rsid w:val="00F7720E"/>
    <w:rsid w:val="00F81859"/>
    <w:rsid w:val="00F83C48"/>
    <w:rsid w:val="00F85B1A"/>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20380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28989855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4217B-CFFD-4350-A33C-8F223796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927</Words>
  <Characters>5290</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2019-01-08T12:37:00Z</dcterms:created>
  <dcterms:modified xsi:type="dcterms:W3CDTF">2019-01-15T09:48:00Z</dcterms:modified>
  <cp:category/>
</cp:coreProperties>
</file>